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E1F" w:rsidRPr="00E62E1F" w:rsidRDefault="00E62E1F" w:rsidP="00AB430F">
      <w:pPr>
        <w:jc w:val="center"/>
        <w:rPr>
          <w:rFonts w:ascii="Book Antiqua" w:hAnsi="Book Antiqua"/>
          <w:sz w:val="24"/>
          <w:szCs w:val="24"/>
        </w:rPr>
      </w:pPr>
    </w:p>
    <w:p w:rsidR="00AB430F" w:rsidRPr="00E62E1F" w:rsidRDefault="00AB430F" w:rsidP="00AB430F">
      <w:pPr>
        <w:jc w:val="center"/>
        <w:rPr>
          <w:rFonts w:ascii="Book Antiqua" w:hAnsi="Book Antiqua"/>
          <w:sz w:val="24"/>
          <w:szCs w:val="24"/>
        </w:rPr>
      </w:pPr>
      <w:r w:rsidRPr="00E62E1F">
        <w:rPr>
          <w:rFonts w:ascii="Book Antiqua" w:hAnsi="Book Antiqua"/>
          <w:sz w:val="24"/>
          <w:szCs w:val="24"/>
        </w:rPr>
        <w:t>LABORATORIA PRZYSZŁOŚCI</w:t>
      </w:r>
    </w:p>
    <w:p w:rsidR="00AB430F" w:rsidRPr="00E62E1F" w:rsidRDefault="00AB430F" w:rsidP="00AB430F">
      <w:pPr>
        <w:rPr>
          <w:rFonts w:ascii="Book Antiqua" w:hAnsi="Book Antiqua"/>
          <w:sz w:val="24"/>
          <w:szCs w:val="24"/>
        </w:rPr>
      </w:pPr>
    </w:p>
    <w:p w:rsidR="00AB430F" w:rsidRPr="00E62E1F" w:rsidRDefault="00AB430F" w:rsidP="006722D5">
      <w:pPr>
        <w:jc w:val="both"/>
        <w:rPr>
          <w:rFonts w:ascii="Book Antiqua" w:hAnsi="Book Antiqua"/>
          <w:sz w:val="24"/>
          <w:szCs w:val="24"/>
        </w:rPr>
      </w:pPr>
      <w:r w:rsidRPr="00E62E1F">
        <w:rPr>
          <w:rFonts w:ascii="Book Antiqua" w:hAnsi="Book Antiqua"/>
          <w:sz w:val="24"/>
          <w:szCs w:val="24"/>
        </w:rPr>
        <w:t xml:space="preserve">Laboratoria Przyszłości to rządowa inicjatywa finansowana z Funduszu Przeciwdziałania COVID-19 </w:t>
      </w:r>
      <w:r w:rsidR="006722D5" w:rsidRPr="00E62E1F">
        <w:rPr>
          <w:rFonts w:ascii="Book Antiqua" w:hAnsi="Book Antiqua"/>
          <w:sz w:val="24"/>
          <w:szCs w:val="24"/>
        </w:rPr>
        <w:br/>
      </w:r>
      <w:r w:rsidRPr="00E62E1F">
        <w:rPr>
          <w:rFonts w:ascii="Book Antiqua" w:hAnsi="Book Antiqua"/>
          <w:sz w:val="24"/>
          <w:szCs w:val="24"/>
        </w:rPr>
        <w:t>i realizująca jeden z postulatów „Polskiego Ładu”. W ramach tego przedsięwzięcia szkoły podstawowe w całej Polsce otrzymają środki na zakup wyposażenia służącego uczniom do rozwijania kompetencji, takich jak współpraca, kreatywność, umiejętność rozwiązywania problemów czy znajomość nowych technologii. W ramach programu Laboratoria Przyszłości organy prowadzące szkoły mogą otrzymać do:</w:t>
      </w:r>
    </w:p>
    <w:p w:rsidR="00AB430F" w:rsidRPr="00E62E1F" w:rsidRDefault="00AB430F" w:rsidP="006722D5">
      <w:pPr>
        <w:pStyle w:val="Akapitzlist"/>
        <w:numPr>
          <w:ilvl w:val="0"/>
          <w:numId w:val="1"/>
        </w:numPr>
        <w:jc w:val="both"/>
        <w:rPr>
          <w:rFonts w:ascii="Book Antiqua" w:hAnsi="Book Antiqua"/>
          <w:sz w:val="24"/>
          <w:szCs w:val="24"/>
        </w:rPr>
      </w:pPr>
      <w:r w:rsidRPr="00E62E1F">
        <w:rPr>
          <w:rFonts w:ascii="Book Antiqua" w:hAnsi="Book Antiqua"/>
          <w:b/>
          <w:sz w:val="24"/>
          <w:szCs w:val="24"/>
        </w:rPr>
        <w:t>30</w:t>
      </w:r>
      <w:r w:rsidRPr="00E62E1F">
        <w:rPr>
          <w:rFonts w:ascii="Times New Roman" w:hAnsi="Times New Roman" w:cs="Times New Roman"/>
          <w:b/>
          <w:sz w:val="24"/>
          <w:szCs w:val="24"/>
        </w:rPr>
        <w:t> </w:t>
      </w:r>
      <w:r w:rsidRPr="00E62E1F">
        <w:rPr>
          <w:rFonts w:ascii="Book Antiqua" w:hAnsi="Book Antiqua"/>
          <w:b/>
          <w:sz w:val="24"/>
          <w:szCs w:val="24"/>
        </w:rPr>
        <w:t xml:space="preserve">000 złotych </w:t>
      </w:r>
      <w:r w:rsidRPr="00E62E1F">
        <w:rPr>
          <w:rFonts w:ascii="Book Antiqua" w:hAnsi="Book Antiqua"/>
          <w:sz w:val="24"/>
          <w:szCs w:val="24"/>
        </w:rPr>
        <w:t>– w przypadku szkół do 100 uczniów;</w:t>
      </w:r>
    </w:p>
    <w:p w:rsidR="00AB430F" w:rsidRPr="00E62E1F" w:rsidRDefault="00AB430F" w:rsidP="006722D5">
      <w:pPr>
        <w:pStyle w:val="Akapitzlist"/>
        <w:numPr>
          <w:ilvl w:val="0"/>
          <w:numId w:val="1"/>
        </w:numPr>
        <w:jc w:val="both"/>
        <w:rPr>
          <w:rFonts w:ascii="Book Antiqua" w:hAnsi="Book Antiqua"/>
          <w:sz w:val="24"/>
          <w:szCs w:val="24"/>
        </w:rPr>
      </w:pPr>
      <w:r w:rsidRPr="00E62E1F">
        <w:rPr>
          <w:rFonts w:ascii="Book Antiqua" w:hAnsi="Book Antiqua"/>
          <w:b/>
          <w:sz w:val="24"/>
          <w:szCs w:val="24"/>
        </w:rPr>
        <w:t>60</w:t>
      </w:r>
      <w:r w:rsidRPr="00E62E1F">
        <w:rPr>
          <w:rFonts w:ascii="Times New Roman" w:hAnsi="Times New Roman" w:cs="Times New Roman"/>
          <w:b/>
          <w:sz w:val="24"/>
          <w:szCs w:val="24"/>
        </w:rPr>
        <w:t> </w:t>
      </w:r>
      <w:r w:rsidRPr="00E62E1F">
        <w:rPr>
          <w:rFonts w:ascii="Book Antiqua" w:hAnsi="Book Antiqua"/>
          <w:b/>
          <w:sz w:val="24"/>
          <w:szCs w:val="24"/>
        </w:rPr>
        <w:t>000 z</w:t>
      </w:r>
      <w:r w:rsidRPr="00E62E1F">
        <w:rPr>
          <w:rFonts w:ascii="Book Antiqua" w:hAnsi="Book Antiqua" w:cs="Book Antiqua"/>
          <w:b/>
          <w:sz w:val="24"/>
          <w:szCs w:val="24"/>
        </w:rPr>
        <w:t>ł</w:t>
      </w:r>
      <w:r w:rsidRPr="00E62E1F">
        <w:rPr>
          <w:rFonts w:ascii="Book Antiqua" w:hAnsi="Book Antiqua"/>
          <w:b/>
          <w:sz w:val="24"/>
          <w:szCs w:val="24"/>
        </w:rPr>
        <w:t>otych</w:t>
      </w:r>
      <w:r w:rsidRPr="00E62E1F">
        <w:rPr>
          <w:rFonts w:ascii="Book Antiqua" w:hAnsi="Book Antiqua"/>
          <w:sz w:val="24"/>
          <w:szCs w:val="24"/>
        </w:rPr>
        <w:t xml:space="preserve"> – w przypadku szkół od 101 do 200 uczniów; </w:t>
      </w:r>
    </w:p>
    <w:p w:rsidR="00AB430F" w:rsidRPr="00E62E1F" w:rsidRDefault="00AB430F" w:rsidP="006722D5">
      <w:pPr>
        <w:pStyle w:val="Akapitzlist"/>
        <w:numPr>
          <w:ilvl w:val="0"/>
          <w:numId w:val="1"/>
        </w:numPr>
        <w:jc w:val="both"/>
        <w:rPr>
          <w:rFonts w:ascii="Book Antiqua" w:hAnsi="Book Antiqua"/>
          <w:sz w:val="24"/>
          <w:szCs w:val="24"/>
        </w:rPr>
      </w:pPr>
      <w:r w:rsidRPr="00E62E1F">
        <w:rPr>
          <w:rFonts w:ascii="Book Antiqua" w:hAnsi="Book Antiqua"/>
          <w:b/>
          <w:sz w:val="24"/>
          <w:szCs w:val="24"/>
        </w:rPr>
        <w:t>70</w:t>
      </w:r>
      <w:r w:rsidRPr="00E62E1F">
        <w:rPr>
          <w:rFonts w:ascii="Times New Roman" w:hAnsi="Times New Roman" w:cs="Times New Roman"/>
          <w:b/>
          <w:sz w:val="24"/>
          <w:szCs w:val="24"/>
        </w:rPr>
        <w:t> </w:t>
      </w:r>
      <w:r w:rsidRPr="00E62E1F">
        <w:rPr>
          <w:rFonts w:ascii="Book Antiqua" w:hAnsi="Book Antiqua"/>
          <w:b/>
          <w:sz w:val="24"/>
          <w:szCs w:val="24"/>
        </w:rPr>
        <w:t>000 z</w:t>
      </w:r>
      <w:r w:rsidRPr="00E62E1F">
        <w:rPr>
          <w:rFonts w:ascii="Book Antiqua" w:hAnsi="Book Antiqua" w:cs="Book Antiqua"/>
          <w:b/>
          <w:sz w:val="24"/>
          <w:szCs w:val="24"/>
        </w:rPr>
        <w:t>ł</w:t>
      </w:r>
      <w:r w:rsidRPr="00E62E1F">
        <w:rPr>
          <w:rFonts w:ascii="Book Antiqua" w:hAnsi="Book Antiqua"/>
          <w:b/>
          <w:sz w:val="24"/>
          <w:szCs w:val="24"/>
        </w:rPr>
        <w:t>otych</w:t>
      </w:r>
      <w:r w:rsidRPr="00E62E1F">
        <w:rPr>
          <w:rFonts w:ascii="Book Antiqua" w:hAnsi="Book Antiqua"/>
          <w:sz w:val="24"/>
          <w:szCs w:val="24"/>
        </w:rPr>
        <w:t xml:space="preserve"> – w przypadku szkół od 201 do 234 uczniów; </w:t>
      </w:r>
    </w:p>
    <w:p w:rsidR="00AB430F" w:rsidRPr="00E62E1F" w:rsidRDefault="00AB430F" w:rsidP="006722D5">
      <w:pPr>
        <w:pStyle w:val="Akapitzlist"/>
        <w:numPr>
          <w:ilvl w:val="0"/>
          <w:numId w:val="1"/>
        </w:numPr>
        <w:jc w:val="both"/>
        <w:rPr>
          <w:rFonts w:ascii="Book Antiqua" w:hAnsi="Book Antiqua"/>
          <w:sz w:val="24"/>
          <w:szCs w:val="24"/>
        </w:rPr>
      </w:pPr>
      <w:r w:rsidRPr="00E62E1F">
        <w:rPr>
          <w:rFonts w:ascii="Book Antiqua" w:hAnsi="Book Antiqua"/>
          <w:b/>
          <w:sz w:val="24"/>
          <w:szCs w:val="24"/>
        </w:rPr>
        <w:t>300 złotych na ucznia</w:t>
      </w:r>
      <w:r w:rsidRPr="00E62E1F">
        <w:rPr>
          <w:rFonts w:ascii="Book Antiqua" w:hAnsi="Book Antiqua"/>
          <w:sz w:val="24"/>
          <w:szCs w:val="24"/>
        </w:rPr>
        <w:t xml:space="preserve"> – w przypadku szkół od 235 uczniów .</w:t>
      </w:r>
    </w:p>
    <w:p w:rsidR="00AB430F" w:rsidRPr="00E62E1F" w:rsidRDefault="00AB430F" w:rsidP="006722D5">
      <w:pPr>
        <w:jc w:val="both"/>
        <w:rPr>
          <w:rFonts w:ascii="Book Antiqua" w:hAnsi="Book Antiqua"/>
          <w:sz w:val="24"/>
          <w:szCs w:val="24"/>
        </w:rPr>
      </w:pPr>
      <w:r w:rsidRPr="00E62E1F">
        <w:rPr>
          <w:rFonts w:ascii="Book Antiqua" w:hAnsi="Book Antiqua"/>
          <w:sz w:val="24"/>
          <w:szCs w:val="24"/>
        </w:rPr>
        <w:t>Oznacza to, że</w:t>
      </w:r>
      <w:r w:rsidRPr="00E62E1F">
        <w:rPr>
          <w:rFonts w:ascii="Times New Roman" w:hAnsi="Times New Roman" w:cs="Times New Roman"/>
          <w:sz w:val="24"/>
          <w:szCs w:val="24"/>
        </w:rPr>
        <w:t> </w:t>
      </w:r>
      <w:r w:rsidRPr="00E62E1F">
        <w:rPr>
          <w:rFonts w:ascii="Book Antiqua" w:hAnsi="Book Antiqua"/>
          <w:sz w:val="24"/>
          <w:szCs w:val="24"/>
        </w:rPr>
        <w:t>wszystkie szko</w:t>
      </w:r>
      <w:r w:rsidRPr="00E62E1F">
        <w:rPr>
          <w:rFonts w:ascii="Book Antiqua" w:hAnsi="Book Antiqua" w:cs="Book Antiqua"/>
          <w:sz w:val="24"/>
          <w:szCs w:val="24"/>
        </w:rPr>
        <w:t>ł</w:t>
      </w:r>
      <w:r w:rsidRPr="00E62E1F">
        <w:rPr>
          <w:rFonts w:ascii="Book Antiqua" w:hAnsi="Book Antiqua"/>
          <w:sz w:val="24"/>
          <w:szCs w:val="24"/>
        </w:rPr>
        <w:t>y</w:t>
      </w:r>
      <w:r w:rsidRPr="00E62E1F">
        <w:rPr>
          <w:rFonts w:ascii="Times New Roman" w:hAnsi="Times New Roman" w:cs="Times New Roman"/>
          <w:sz w:val="24"/>
          <w:szCs w:val="24"/>
        </w:rPr>
        <w:t> </w:t>
      </w:r>
      <w:r w:rsidRPr="00E62E1F">
        <w:rPr>
          <w:rFonts w:ascii="Book Antiqua" w:hAnsi="Book Antiqua"/>
          <w:sz w:val="24"/>
          <w:szCs w:val="24"/>
        </w:rPr>
        <w:t>w Polsce</w:t>
      </w:r>
      <w:r w:rsidRPr="00E62E1F">
        <w:rPr>
          <w:rFonts w:ascii="Times New Roman" w:hAnsi="Times New Roman" w:cs="Times New Roman"/>
          <w:sz w:val="24"/>
          <w:szCs w:val="24"/>
        </w:rPr>
        <w:t> </w:t>
      </w:r>
      <w:r w:rsidRPr="00E62E1F">
        <w:rPr>
          <w:rFonts w:ascii="Book Antiqua" w:hAnsi="Book Antiqua"/>
          <w:sz w:val="24"/>
          <w:szCs w:val="24"/>
        </w:rPr>
        <w:t>otrzymaj</w:t>
      </w:r>
      <w:r w:rsidRPr="00E62E1F">
        <w:rPr>
          <w:rFonts w:ascii="Book Antiqua" w:hAnsi="Book Antiqua" w:cs="Book Antiqua"/>
          <w:sz w:val="24"/>
          <w:szCs w:val="24"/>
        </w:rPr>
        <w:t>ą</w:t>
      </w:r>
      <w:r w:rsidRPr="00E62E1F">
        <w:rPr>
          <w:rFonts w:ascii="Times New Roman" w:hAnsi="Times New Roman" w:cs="Times New Roman"/>
          <w:sz w:val="24"/>
          <w:szCs w:val="24"/>
        </w:rPr>
        <w:t> </w:t>
      </w:r>
      <w:r w:rsidRPr="00E62E1F">
        <w:rPr>
          <w:rFonts w:ascii="Book Antiqua" w:hAnsi="Book Antiqua"/>
          <w:sz w:val="24"/>
          <w:szCs w:val="24"/>
        </w:rPr>
        <w:t>co najmniej 300 z</w:t>
      </w:r>
      <w:r w:rsidRPr="00E62E1F">
        <w:rPr>
          <w:rFonts w:ascii="Book Antiqua" w:hAnsi="Book Antiqua" w:cs="Book Antiqua"/>
          <w:sz w:val="24"/>
          <w:szCs w:val="24"/>
        </w:rPr>
        <w:t>ł</w:t>
      </w:r>
      <w:r w:rsidRPr="00E62E1F">
        <w:rPr>
          <w:rFonts w:ascii="Book Antiqua" w:hAnsi="Book Antiqua"/>
          <w:sz w:val="24"/>
          <w:szCs w:val="24"/>
        </w:rPr>
        <w:t xml:space="preserve"> na ucznia. </w:t>
      </w:r>
      <w:r w:rsidRPr="00E62E1F">
        <w:rPr>
          <w:rFonts w:ascii="Book Antiqua" w:hAnsi="Book Antiqua" w:cs="Book Antiqua"/>
          <w:sz w:val="24"/>
          <w:szCs w:val="24"/>
        </w:rPr>
        <w:t>Łą</w:t>
      </w:r>
      <w:r w:rsidRPr="00E62E1F">
        <w:rPr>
          <w:rFonts w:ascii="Book Antiqua" w:hAnsi="Book Antiqua"/>
          <w:sz w:val="24"/>
          <w:szCs w:val="24"/>
        </w:rPr>
        <w:t>cznie z inicjatywy skorzysta ponad 3 miliony uczni</w:t>
      </w:r>
      <w:r w:rsidRPr="00E62E1F">
        <w:rPr>
          <w:rFonts w:ascii="Book Antiqua" w:hAnsi="Book Antiqua" w:cs="Book Antiqua"/>
          <w:sz w:val="24"/>
          <w:szCs w:val="24"/>
        </w:rPr>
        <w:t>ó</w:t>
      </w:r>
      <w:r w:rsidRPr="00E62E1F">
        <w:rPr>
          <w:rFonts w:ascii="Book Antiqua" w:hAnsi="Book Antiqua"/>
          <w:sz w:val="24"/>
          <w:szCs w:val="24"/>
        </w:rPr>
        <w:t>w z 15</w:t>
      </w:r>
      <w:r w:rsidRPr="00E62E1F">
        <w:rPr>
          <w:rFonts w:ascii="Times New Roman" w:hAnsi="Times New Roman" w:cs="Times New Roman"/>
          <w:sz w:val="24"/>
          <w:szCs w:val="24"/>
        </w:rPr>
        <w:t> </w:t>
      </w:r>
      <w:r w:rsidRPr="00E62E1F">
        <w:rPr>
          <w:rFonts w:ascii="Book Antiqua" w:hAnsi="Book Antiqua"/>
          <w:sz w:val="24"/>
          <w:szCs w:val="24"/>
        </w:rPr>
        <w:t>tys. szk</w:t>
      </w:r>
      <w:r w:rsidRPr="00E62E1F">
        <w:rPr>
          <w:rFonts w:ascii="Book Antiqua" w:hAnsi="Book Antiqua" w:cs="Book Antiqua"/>
          <w:sz w:val="24"/>
          <w:szCs w:val="24"/>
        </w:rPr>
        <w:t>ół</w:t>
      </w:r>
      <w:r w:rsidRPr="00E62E1F">
        <w:rPr>
          <w:rFonts w:ascii="Book Antiqua" w:hAnsi="Book Antiqua"/>
          <w:sz w:val="24"/>
          <w:szCs w:val="24"/>
        </w:rPr>
        <w:t xml:space="preserve">. </w:t>
      </w:r>
    </w:p>
    <w:p w:rsidR="00AB430F" w:rsidRPr="00E62E1F" w:rsidRDefault="00AB430F" w:rsidP="006722D5">
      <w:pPr>
        <w:jc w:val="both"/>
        <w:rPr>
          <w:rFonts w:ascii="Book Antiqua" w:hAnsi="Book Antiqua"/>
          <w:b/>
          <w:sz w:val="24"/>
          <w:szCs w:val="24"/>
        </w:rPr>
      </w:pPr>
      <w:r w:rsidRPr="00E62E1F">
        <w:rPr>
          <w:rFonts w:ascii="Book Antiqua" w:hAnsi="Book Antiqua"/>
          <w:b/>
          <w:sz w:val="24"/>
          <w:szCs w:val="24"/>
        </w:rPr>
        <w:t>Prawie dwieście rodzajów sprzętu dla szkół</w:t>
      </w:r>
    </w:p>
    <w:p w:rsidR="00AB430F" w:rsidRPr="00E62E1F" w:rsidRDefault="00AB430F" w:rsidP="006722D5">
      <w:pPr>
        <w:jc w:val="both"/>
        <w:rPr>
          <w:rFonts w:ascii="Book Antiqua" w:hAnsi="Book Antiqua"/>
          <w:sz w:val="24"/>
          <w:szCs w:val="24"/>
        </w:rPr>
      </w:pPr>
      <w:r w:rsidRPr="00E62E1F">
        <w:rPr>
          <w:rFonts w:ascii="Book Antiqua" w:hAnsi="Book Antiqua"/>
          <w:sz w:val="24"/>
          <w:szCs w:val="24"/>
        </w:rPr>
        <w:t xml:space="preserve">Przez kilka tygodni trwały konsultacje katalogu wyposażenia, które trafi do szkół w ramach programu Laboratoria Przyszłości. Efektem tych konsultacji jest liczący 175 pozycji katalog wyposażenia, które szkoły mogą kupować za otrzymane w ramach programu środki. </w:t>
      </w:r>
    </w:p>
    <w:p w:rsidR="00AB430F" w:rsidRPr="00E62E1F" w:rsidRDefault="00AB430F" w:rsidP="006722D5">
      <w:pPr>
        <w:jc w:val="both"/>
        <w:rPr>
          <w:rFonts w:ascii="Book Antiqua" w:hAnsi="Book Antiqua"/>
          <w:sz w:val="24"/>
          <w:szCs w:val="24"/>
        </w:rPr>
      </w:pPr>
      <w:r w:rsidRPr="00E62E1F">
        <w:rPr>
          <w:rFonts w:ascii="Book Antiqua" w:hAnsi="Book Antiqua"/>
          <w:sz w:val="24"/>
          <w:szCs w:val="24"/>
        </w:rPr>
        <w:t>Obecnie w skład wyposażenia podstawowego wchodzą:</w:t>
      </w:r>
    </w:p>
    <w:p w:rsidR="00AB430F" w:rsidRPr="00E62E1F" w:rsidRDefault="00AB430F" w:rsidP="006722D5">
      <w:pPr>
        <w:pStyle w:val="Akapitzlist"/>
        <w:numPr>
          <w:ilvl w:val="0"/>
          <w:numId w:val="2"/>
        </w:numPr>
        <w:jc w:val="both"/>
        <w:rPr>
          <w:rFonts w:ascii="Book Antiqua" w:hAnsi="Book Antiqua"/>
          <w:sz w:val="24"/>
          <w:szCs w:val="24"/>
        </w:rPr>
      </w:pPr>
      <w:r w:rsidRPr="00E62E1F">
        <w:rPr>
          <w:rFonts w:ascii="Book Antiqua" w:hAnsi="Book Antiqua"/>
          <w:sz w:val="24"/>
          <w:szCs w:val="24"/>
        </w:rPr>
        <w:t xml:space="preserve">Drukarki 3D z akcesoriami (w tym m.in. z aplikacjami, </w:t>
      </w:r>
      <w:proofErr w:type="spellStart"/>
      <w:r w:rsidRPr="00E62E1F">
        <w:rPr>
          <w:rFonts w:ascii="Book Antiqua" w:hAnsi="Book Antiqua"/>
          <w:sz w:val="24"/>
          <w:szCs w:val="24"/>
        </w:rPr>
        <w:t>slicerami</w:t>
      </w:r>
      <w:proofErr w:type="spellEnd"/>
      <w:r w:rsidRPr="00E62E1F">
        <w:rPr>
          <w:rFonts w:ascii="Book Antiqua" w:hAnsi="Book Antiqua"/>
          <w:sz w:val="24"/>
          <w:szCs w:val="24"/>
        </w:rPr>
        <w:t>, ploterami);</w:t>
      </w:r>
    </w:p>
    <w:p w:rsidR="00AB430F" w:rsidRPr="00E62E1F" w:rsidRDefault="00AB430F" w:rsidP="006722D5">
      <w:pPr>
        <w:pStyle w:val="Akapitzlist"/>
        <w:numPr>
          <w:ilvl w:val="0"/>
          <w:numId w:val="2"/>
        </w:numPr>
        <w:jc w:val="both"/>
        <w:rPr>
          <w:rFonts w:ascii="Book Antiqua" w:hAnsi="Book Antiqua"/>
          <w:sz w:val="24"/>
          <w:szCs w:val="24"/>
        </w:rPr>
      </w:pPr>
      <w:r w:rsidRPr="00E62E1F">
        <w:rPr>
          <w:rFonts w:ascii="Book Antiqua" w:hAnsi="Book Antiqua"/>
          <w:sz w:val="24"/>
          <w:szCs w:val="24"/>
        </w:rPr>
        <w:t>Mikrokontrolery z sensorami, wzmacniaczami, płytkami prototypowymi i innymi akcesoriami;</w:t>
      </w:r>
    </w:p>
    <w:p w:rsidR="00AB430F" w:rsidRPr="00E62E1F" w:rsidRDefault="00AB430F" w:rsidP="006722D5">
      <w:pPr>
        <w:pStyle w:val="Akapitzlist"/>
        <w:numPr>
          <w:ilvl w:val="0"/>
          <w:numId w:val="2"/>
        </w:numPr>
        <w:jc w:val="both"/>
        <w:rPr>
          <w:rFonts w:ascii="Book Antiqua" w:hAnsi="Book Antiqua"/>
          <w:sz w:val="24"/>
          <w:szCs w:val="24"/>
        </w:rPr>
      </w:pPr>
      <w:r w:rsidRPr="00E62E1F">
        <w:rPr>
          <w:rFonts w:ascii="Book Antiqua" w:hAnsi="Book Antiqua"/>
          <w:sz w:val="24"/>
          <w:szCs w:val="24"/>
        </w:rPr>
        <w:t>Sprzęt do nagrań dla nauki prezentacji swoich osiągnięć (kamery, oświetlenie, mikrofony);</w:t>
      </w:r>
    </w:p>
    <w:p w:rsidR="00AB430F" w:rsidRPr="00E62E1F" w:rsidRDefault="00AB430F" w:rsidP="006722D5">
      <w:pPr>
        <w:pStyle w:val="Akapitzlist"/>
        <w:numPr>
          <w:ilvl w:val="0"/>
          <w:numId w:val="2"/>
        </w:numPr>
        <w:jc w:val="both"/>
        <w:rPr>
          <w:rFonts w:ascii="Book Antiqua" w:hAnsi="Book Antiqua"/>
          <w:sz w:val="24"/>
          <w:szCs w:val="24"/>
        </w:rPr>
      </w:pPr>
      <w:r w:rsidRPr="00E62E1F">
        <w:rPr>
          <w:rFonts w:ascii="Book Antiqua" w:hAnsi="Book Antiqua"/>
          <w:sz w:val="24"/>
          <w:szCs w:val="24"/>
        </w:rPr>
        <w:t>Stacje lutownicze (do mikrokontrolerów).</w:t>
      </w:r>
    </w:p>
    <w:p w:rsidR="00AB430F" w:rsidRPr="00E62E1F" w:rsidRDefault="00AB430F" w:rsidP="006722D5">
      <w:pPr>
        <w:jc w:val="both"/>
        <w:rPr>
          <w:rFonts w:ascii="Book Antiqua" w:hAnsi="Book Antiqua"/>
          <w:sz w:val="24"/>
          <w:szCs w:val="24"/>
        </w:rPr>
      </w:pPr>
      <w:r w:rsidRPr="00E62E1F">
        <w:rPr>
          <w:rFonts w:ascii="Book Antiqua" w:hAnsi="Book Antiqua"/>
          <w:sz w:val="24"/>
          <w:szCs w:val="24"/>
        </w:rPr>
        <w:t>Te elementy od 1 września 2022 roku będą musiały znaleźć się w każdej szkole podstawowej w Polsce, nawet jeśli placówka nie zgłosiła się do Laboratoriów Przyszłości. Założeniem programu jest umożliwienie wszystkim szkołom podstawowym w Polsce sfinansowania w całości zakupu wyposażenia podstawowego oraz wybranych przez szkoły elementów wyposażenia dodatkowego, aby wchodzący od kolejnego roku szkolnego obowiązek nie miał negatywnego wpływu na sytuację finansową organów prowadzących szkoły. Wsparcie jest udzielane w całości z góry, bez konieczności wniesienia wkładu własnego.</w:t>
      </w:r>
    </w:p>
    <w:p w:rsidR="00AB430F" w:rsidRPr="00E62E1F" w:rsidRDefault="00AB430F" w:rsidP="006722D5">
      <w:pPr>
        <w:jc w:val="both"/>
        <w:rPr>
          <w:rFonts w:ascii="Book Antiqua" w:hAnsi="Book Antiqua"/>
          <w:b/>
          <w:sz w:val="24"/>
          <w:szCs w:val="24"/>
        </w:rPr>
      </w:pPr>
      <w:r w:rsidRPr="00E62E1F">
        <w:rPr>
          <w:rFonts w:ascii="Book Antiqua" w:hAnsi="Book Antiqua"/>
          <w:b/>
          <w:sz w:val="24"/>
          <w:szCs w:val="24"/>
        </w:rPr>
        <w:t>Jak złożyć wniosek?</w:t>
      </w:r>
    </w:p>
    <w:p w:rsidR="000C493A" w:rsidRPr="00E62E1F" w:rsidRDefault="00AB430F" w:rsidP="006722D5">
      <w:pPr>
        <w:jc w:val="both"/>
        <w:rPr>
          <w:rFonts w:ascii="Book Antiqua" w:hAnsi="Book Antiqua"/>
          <w:sz w:val="24"/>
          <w:szCs w:val="24"/>
        </w:rPr>
      </w:pPr>
      <w:r w:rsidRPr="00E62E1F">
        <w:rPr>
          <w:rFonts w:ascii="Book Antiqua" w:hAnsi="Book Antiqua"/>
          <w:sz w:val="24"/>
          <w:szCs w:val="24"/>
        </w:rPr>
        <w:lastRenderedPageBreak/>
        <w:t>Szkoła wypełnia wniosek, który trafia do organu prowadzącego. Następnie wnioskuje on o przyznanie wsparcia do Prezesa Rady Ministrów za pośrednictwem właściwego wojewody. Wszystkie wnioski można wypełnić w kilka minut i składa się je wyłącznie elektronicznie – za pośrednictwem strony internetowej. Na stronie dostępne są także: katalog, instrukcje składania wniosków (w formie pisemnej i wideo), a także inne pomocne materiały. Szkoły, których organami prowadzącymi są jednostki samorządu terytorialnego, mogą składać wnioski już od 8 października do 15 listopada. Ze względu na bardzo duże zainteresowanie termin przesunięto do 30 listopada. Organy prowadzące te szkoły muszą wydać co najmniej 60% otrzymanych środków do końca 2021 r. Sam sprzęt może być dostarczony do szkół najpóźniej 1 września 2022 roku.</w:t>
      </w:r>
    </w:p>
    <w:p w:rsidR="00E62E1F" w:rsidRPr="00E62E1F" w:rsidRDefault="00E62E1F" w:rsidP="006722D5">
      <w:pPr>
        <w:jc w:val="both"/>
        <w:rPr>
          <w:rFonts w:ascii="Book Antiqua" w:hAnsi="Book Antiqua"/>
          <w:sz w:val="24"/>
          <w:szCs w:val="24"/>
        </w:rPr>
      </w:pPr>
    </w:p>
    <w:p w:rsidR="00E62E1F" w:rsidRPr="00E62E1F" w:rsidRDefault="00E62E1F" w:rsidP="00E62E1F">
      <w:pPr>
        <w:jc w:val="center"/>
        <w:rPr>
          <w:rFonts w:ascii="Book Antiqua" w:hAnsi="Book Antiqua"/>
          <w:b/>
          <w:sz w:val="24"/>
          <w:szCs w:val="24"/>
        </w:rPr>
      </w:pPr>
      <w:r w:rsidRPr="00E62E1F">
        <w:rPr>
          <w:rFonts w:ascii="Book Antiqua" w:hAnsi="Book Antiqua"/>
          <w:b/>
          <w:sz w:val="24"/>
          <w:szCs w:val="24"/>
        </w:rPr>
        <w:t>ZESTAWIENIE ILOŚCIOWE – STAN NA 19.11.2021</w:t>
      </w:r>
    </w:p>
    <w:p w:rsidR="00E62E1F" w:rsidRPr="00E62E1F" w:rsidRDefault="00E62E1F" w:rsidP="00E62E1F">
      <w:pPr>
        <w:jc w:val="center"/>
        <w:rPr>
          <w:rFonts w:ascii="Book Antiqua" w:hAnsi="Book Antiqua"/>
          <w:b/>
          <w:sz w:val="24"/>
          <w:szCs w:val="24"/>
        </w:rPr>
      </w:pPr>
      <w:bookmarkStart w:id="0" w:name="_GoBack"/>
      <w:bookmarkEnd w:id="0"/>
    </w:p>
    <w:p w:rsidR="00E62E1F" w:rsidRPr="00E62E1F" w:rsidRDefault="00E62E1F" w:rsidP="00E62E1F">
      <w:pPr>
        <w:pStyle w:val="Akapitzlist"/>
        <w:numPr>
          <w:ilvl w:val="0"/>
          <w:numId w:val="3"/>
        </w:numPr>
        <w:spacing w:line="256" w:lineRule="auto"/>
        <w:rPr>
          <w:rFonts w:ascii="Book Antiqua" w:hAnsi="Book Antiqua"/>
          <w:i/>
          <w:sz w:val="24"/>
          <w:szCs w:val="24"/>
        </w:rPr>
      </w:pPr>
      <w:r w:rsidRPr="00E62E1F">
        <w:rPr>
          <w:rFonts w:ascii="Book Antiqua" w:hAnsi="Book Antiqua"/>
          <w:sz w:val="24"/>
          <w:szCs w:val="24"/>
        </w:rPr>
        <w:t xml:space="preserve">SZKÓŁ UPRAWNIONYCH DO ZŁOŻENIA WNIOSKU – </w:t>
      </w:r>
      <w:r w:rsidRPr="00E62E1F">
        <w:rPr>
          <w:rFonts w:ascii="Book Antiqua" w:hAnsi="Book Antiqua"/>
          <w:b/>
          <w:sz w:val="24"/>
          <w:szCs w:val="24"/>
        </w:rPr>
        <w:t xml:space="preserve">957 </w:t>
      </w:r>
      <w:r w:rsidRPr="00E62E1F">
        <w:rPr>
          <w:rFonts w:ascii="Book Antiqua" w:hAnsi="Book Antiqua"/>
          <w:sz w:val="24"/>
          <w:szCs w:val="24"/>
        </w:rPr>
        <w:br/>
      </w:r>
      <w:r w:rsidRPr="00E62E1F">
        <w:rPr>
          <w:rFonts w:ascii="Book Antiqua" w:hAnsi="Book Antiqua"/>
          <w:i/>
          <w:sz w:val="24"/>
          <w:szCs w:val="24"/>
        </w:rPr>
        <w:t>publiczne szkoły podstawowe prowadzone przez JST</w:t>
      </w:r>
    </w:p>
    <w:p w:rsidR="00E62E1F" w:rsidRPr="00E62E1F" w:rsidRDefault="00E62E1F" w:rsidP="00E62E1F">
      <w:pPr>
        <w:pStyle w:val="Akapitzlist"/>
        <w:rPr>
          <w:rFonts w:ascii="Book Antiqua" w:hAnsi="Book Antiqua"/>
          <w:i/>
          <w:sz w:val="24"/>
          <w:szCs w:val="24"/>
        </w:rPr>
      </w:pPr>
    </w:p>
    <w:p w:rsidR="00E62E1F" w:rsidRPr="00E62E1F" w:rsidRDefault="00E62E1F" w:rsidP="00E62E1F">
      <w:pPr>
        <w:pStyle w:val="Akapitzlist"/>
        <w:numPr>
          <w:ilvl w:val="0"/>
          <w:numId w:val="3"/>
        </w:numPr>
        <w:spacing w:line="256" w:lineRule="auto"/>
        <w:rPr>
          <w:rFonts w:ascii="Book Antiqua" w:hAnsi="Book Antiqua"/>
          <w:i/>
          <w:sz w:val="24"/>
          <w:szCs w:val="24"/>
        </w:rPr>
      </w:pPr>
      <w:r w:rsidRPr="00E62E1F">
        <w:rPr>
          <w:rFonts w:ascii="Book Antiqua" w:hAnsi="Book Antiqua"/>
          <w:sz w:val="24"/>
          <w:szCs w:val="24"/>
        </w:rPr>
        <w:t>Wnioski złożone:</w:t>
      </w:r>
    </w:p>
    <w:p w:rsidR="00E62E1F" w:rsidRPr="00E62E1F" w:rsidRDefault="00E62E1F" w:rsidP="00E62E1F">
      <w:pPr>
        <w:pStyle w:val="Akapitzlist"/>
        <w:numPr>
          <w:ilvl w:val="1"/>
          <w:numId w:val="3"/>
        </w:numPr>
        <w:spacing w:line="256" w:lineRule="auto"/>
        <w:rPr>
          <w:rFonts w:ascii="Book Antiqua" w:hAnsi="Book Antiqua"/>
          <w:i/>
          <w:sz w:val="24"/>
          <w:szCs w:val="24"/>
        </w:rPr>
      </w:pPr>
      <w:r w:rsidRPr="00E62E1F">
        <w:rPr>
          <w:rFonts w:ascii="Book Antiqua" w:hAnsi="Book Antiqua"/>
          <w:b/>
          <w:sz w:val="24"/>
          <w:szCs w:val="24"/>
        </w:rPr>
        <w:t>172</w:t>
      </w:r>
      <w:r w:rsidRPr="00E62E1F">
        <w:rPr>
          <w:rFonts w:ascii="Book Antiqua" w:hAnsi="Book Antiqua"/>
          <w:sz w:val="24"/>
          <w:szCs w:val="24"/>
        </w:rPr>
        <w:t xml:space="preserve"> organy prowadzące</w:t>
      </w:r>
      <w:r w:rsidRPr="00E62E1F">
        <w:rPr>
          <w:rFonts w:ascii="Book Antiqua" w:hAnsi="Book Antiqua"/>
          <w:sz w:val="24"/>
          <w:szCs w:val="24"/>
        </w:rPr>
        <w:br/>
      </w:r>
      <w:r w:rsidRPr="00E62E1F">
        <w:rPr>
          <w:rFonts w:ascii="Book Antiqua" w:hAnsi="Book Antiqua"/>
          <w:b/>
          <w:sz w:val="24"/>
          <w:szCs w:val="24"/>
        </w:rPr>
        <w:t>937</w:t>
      </w:r>
      <w:r w:rsidRPr="00E62E1F">
        <w:rPr>
          <w:rFonts w:ascii="Book Antiqua" w:hAnsi="Book Antiqua"/>
          <w:sz w:val="24"/>
          <w:szCs w:val="24"/>
        </w:rPr>
        <w:t xml:space="preserve"> szkół, co stanowi </w:t>
      </w:r>
      <w:r w:rsidRPr="00E62E1F">
        <w:rPr>
          <w:rFonts w:ascii="Book Antiqua" w:hAnsi="Book Antiqua"/>
          <w:b/>
          <w:sz w:val="24"/>
          <w:szCs w:val="24"/>
        </w:rPr>
        <w:t>– 98%</w:t>
      </w:r>
      <w:r w:rsidRPr="00E62E1F">
        <w:rPr>
          <w:rFonts w:ascii="Book Antiqua" w:hAnsi="Book Antiqua"/>
          <w:sz w:val="24"/>
          <w:szCs w:val="24"/>
        </w:rPr>
        <w:t xml:space="preserve"> uprawnionych</w:t>
      </w:r>
      <w:r w:rsidRPr="00E62E1F">
        <w:rPr>
          <w:rFonts w:ascii="Book Antiqua" w:hAnsi="Book Antiqua"/>
          <w:sz w:val="24"/>
          <w:szCs w:val="24"/>
        </w:rPr>
        <w:br/>
        <w:t xml:space="preserve">na łączną kwotę </w:t>
      </w:r>
      <w:r w:rsidRPr="00E62E1F">
        <w:rPr>
          <w:rFonts w:ascii="Book Antiqua" w:hAnsi="Book Antiqua"/>
          <w:b/>
          <w:sz w:val="24"/>
          <w:szCs w:val="24"/>
        </w:rPr>
        <w:t>58 199 900 zł</w:t>
      </w:r>
      <w:r w:rsidRPr="00E62E1F">
        <w:rPr>
          <w:rFonts w:ascii="Book Antiqua" w:hAnsi="Book Antiqua"/>
          <w:b/>
          <w:sz w:val="24"/>
          <w:szCs w:val="24"/>
        </w:rPr>
        <w:br/>
      </w:r>
    </w:p>
    <w:p w:rsidR="00E62E1F" w:rsidRPr="00E62E1F" w:rsidRDefault="00E62E1F" w:rsidP="006722D5">
      <w:pPr>
        <w:jc w:val="both"/>
        <w:rPr>
          <w:rFonts w:ascii="Book Antiqua" w:hAnsi="Book Antiqua"/>
          <w:sz w:val="24"/>
          <w:szCs w:val="24"/>
        </w:rPr>
      </w:pPr>
    </w:p>
    <w:sectPr w:rsidR="00E62E1F" w:rsidRPr="00E62E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D4A41"/>
    <w:multiLevelType w:val="hybridMultilevel"/>
    <w:tmpl w:val="76840D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D5F7754"/>
    <w:multiLevelType w:val="hybridMultilevel"/>
    <w:tmpl w:val="3DC657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5F6743F5"/>
    <w:multiLevelType w:val="hybridMultilevel"/>
    <w:tmpl w:val="D1DC7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30F"/>
    <w:rsid w:val="000C493A"/>
    <w:rsid w:val="006722D5"/>
    <w:rsid w:val="00AB430F"/>
    <w:rsid w:val="00E62E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3BBBB"/>
  <w15:chartTrackingRefBased/>
  <w15:docId w15:val="{3D492F65-361F-442D-86E6-A8C3AB0CC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B43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49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2750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Szymański</dc:creator>
  <cp:keywords/>
  <dc:description/>
  <cp:lastModifiedBy>Marek Kondziołka</cp:lastModifiedBy>
  <cp:revision>2</cp:revision>
  <dcterms:created xsi:type="dcterms:W3CDTF">2021-11-19T14:48:00Z</dcterms:created>
  <dcterms:modified xsi:type="dcterms:W3CDTF">2021-11-19T14:48:00Z</dcterms:modified>
</cp:coreProperties>
</file>