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41" w:rsidRDefault="00517C41">
      <w:pPr>
        <w:jc w:val="both"/>
        <w:rPr>
          <w:rFonts w:cs="Verdana"/>
        </w:rPr>
      </w:pPr>
      <w:r>
        <w:rPr>
          <w:rFonts w:cs="Verdana"/>
          <w:b/>
          <w:bCs/>
        </w:rPr>
        <w:t xml:space="preserve">Dz.U.2011.209.1243 </w:t>
      </w:r>
    </w:p>
    <w:p w:rsidR="00517C41" w:rsidRDefault="00517C41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  <w:rPr>
          <w:rFonts w:cs="Verdana"/>
        </w:rPr>
      </w:pPr>
      <w:r>
        <w:rPr>
          <w:rFonts w:cs="Verdana"/>
        </w:rPr>
        <w:t xml:space="preserve">2012.09.15 </w:t>
      </w:r>
      <w:r>
        <w:rPr>
          <w:rFonts w:cs="Verdana"/>
        </w:rPr>
        <w:tab/>
        <w:t>zm.</w:t>
      </w:r>
      <w:r>
        <w:rPr>
          <w:rFonts w:cs="Verdana"/>
        </w:rPr>
        <w:tab/>
      </w:r>
      <w:r>
        <w:rPr>
          <w:rFonts w:cs="Verdana"/>
        </w:rPr>
        <w:tab/>
        <w:t>Dz.U.2012.986</w:t>
      </w:r>
      <w:r>
        <w:rPr>
          <w:rFonts w:cs="Verdana"/>
        </w:rPr>
        <w:tab/>
        <w:t>art. 4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USTAWA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</w:rPr>
        <w:t>z dnia 19 sierpnia 2011 r.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o języku migowym i innych środkach komunikowania się</w:t>
      </w:r>
      <w:r>
        <w:rPr>
          <w:rFonts w:cs="Verdana"/>
          <w:b/>
          <w:bCs/>
          <w:vertAlign w:val="superscript"/>
        </w:rPr>
        <w:t>1)</w:t>
      </w:r>
    </w:p>
    <w:p w:rsidR="00517C41" w:rsidRDefault="00517C41">
      <w:pPr>
        <w:spacing w:before="240" w:after="480"/>
        <w:jc w:val="center"/>
        <w:rPr>
          <w:rFonts w:cs="Verdana"/>
        </w:rPr>
      </w:pPr>
      <w:r>
        <w:rPr>
          <w:rFonts w:cs="Verdana"/>
        </w:rPr>
        <w:t>(Dz. U. z dnia 3 października 2011 r.)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 xml:space="preserve">Rozdział 1 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Przepisy ogólne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1.</w:t>
      </w:r>
      <w:r>
        <w:rPr>
          <w:rFonts w:cs="Verdana"/>
        </w:rPr>
        <w:t> Ustawa określa zasady: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korzystania przez osoby uprawnione z pomocy osoby przybranej w kontaktach z organami administracji publicznej, jednostkami systemu, podmiotami leczniczymi, jednostkami Policji, Państwowej Straży Pożarnej i straży gminnych oraz jednostkami ochotniczymi działającymi w tych obszarach;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obsługi osób uprawnionych w kontaktach z organami administracji publicznej;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dofinansowania kosztów kształcenia osób uprawnionych, członków ich rodzin oraz innych osób mających stały lub bezpośredni kontakt z osobami uprawnionymi w zakresie polskiego języka migowego, systemu językowo-migowego i sposobów komunikowania się osób głuchoniewidomych na różnych poziomach;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monitorowania rozwiązań wspierających komunikowanie się i dostępu do nich.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2.</w:t>
      </w:r>
      <w:r>
        <w:rPr>
          <w:rFonts w:cs="Verdana"/>
        </w:rPr>
        <w:t> 1. Ustawa dotyczy: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osób doświadczających trwale lub okresowo trudności w komunikowaniu się, zwanych dalej "osobami uprawnionymi";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członków rodzin osób uprawnionych, w tym współmałżonka, dzieci własnych i przysposobionych, dzieci obcych przyjętych na wychowanie, pasierbów, rodziców, rodziców współmałżonka, rodzeństwa, ojczyma, macochy, zięciów i synowych, zwanych dalej "członkami rodzin";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osób mających stały lub bezpośredni kontakt z osobami uprawnionymi.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W odniesieniu do jednostek objętych systemem oświaty uprawnienia, o których mowa w ustawie, przysługują rodzicom i opiekunom prawnym uczniów, słuchaczy i wychowanków.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3.</w:t>
      </w:r>
      <w:r>
        <w:rPr>
          <w:rFonts w:cs="Verdana"/>
        </w:rPr>
        <w:t> Ilekroć w ustawie jest mowa o: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osobie przybranej - należy przez to rozumieć osobę, która ukończyła 16 lat i została wybrana przez osobę uprawnioną w celu ułatwienia porozumienia z osobą uprawnioną i udzielenia jej pomocy w załatwieniu spraw w organach administracji publicznej, jednostkach systemu, podmiotach leczniczych, jednostkach Policji, Państwowej Straży Pożarnej i straży gminnych oraz jednostkach ochotniczych działających w tych obszarach;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polskim języku migowym (PJM) - należy przez to rozumieć naturalny wizualno-przestrzenny język komunikowania się osób uprawnionych;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systemie językowo-migowym (SJM) - należy przez to rozumieć podstawowy środek komunikowania się osób uprawnionych, w którym znaki migowe wspierają wypowiedź dźwiękowo-artykulacyjną;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sposobach komunikowania się osób głuchoniewidomych (SKOGN) - należy przez to rozumieć podstawowy środek komunikowania się osób uprawnionych, w którym sposób przekazu komunikatu jest dostosowany do potrzeb wynikających z łącznego występowania dysfunkcji narządu wzroku i słuchu;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środkach wspierających komunikowanie się - należy przez to rozumieć rozwiązania lub usługi umożliwiające kontakt, w szczególności poprzez:</w:t>
      </w:r>
    </w:p>
    <w:p w:rsidR="00517C41" w:rsidRDefault="00517C4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korzystanie z poczty elektronicznej,</w:t>
      </w:r>
    </w:p>
    <w:p w:rsidR="00517C41" w:rsidRDefault="00517C4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przesyłanie wiadomości tekstowych, w tym z wykorzystaniem wiadomości SMS, MMS lub komunikatorów internetowych,</w:t>
      </w:r>
    </w:p>
    <w:p w:rsidR="00517C41" w:rsidRDefault="00517C4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komunikację audiowizualną, w tym z wykorzystaniem komunikatorów internetowych,</w:t>
      </w:r>
    </w:p>
    <w:p w:rsidR="00517C41" w:rsidRDefault="00517C4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przesyłanie faksów,</w:t>
      </w:r>
    </w:p>
    <w:p w:rsidR="00517C41" w:rsidRDefault="00517C4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>strony internetowe spełniające standardy dostępności dla osób niepełnosprawnych;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organach administracji publicznej - należy przez to rozumieć organy określone w art. 5 § 2 pkt 3 ustawy z dnia 14 czerwca 1960 r. - Kodeks postępowania administracyjnego (Dz. U. z 2000 r. Nr 98, poz. 1071, z późn. zm.</w:t>
      </w:r>
      <w:r>
        <w:rPr>
          <w:rFonts w:cs="Verdana"/>
          <w:vertAlign w:val="superscript"/>
        </w:rPr>
        <w:t>2)</w:t>
      </w:r>
      <w:r>
        <w:rPr>
          <w:rFonts w:cs="Verdana"/>
        </w:rPr>
        <w:t>);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jednostkach systemu - należy przez to rozumieć jednostki systemu Państwowe Ratownictwo Medyczne, o których mowa w art. 32 ust. 1 ustawy z dnia 8 września 2006 r. o Państwowym Ratownictwie Medycznym (Dz. U. Nr 191, poz. 1410, z późn. zm.</w:t>
      </w:r>
      <w:r>
        <w:rPr>
          <w:rFonts w:cs="Verdana"/>
          <w:vertAlign w:val="superscript"/>
        </w:rPr>
        <w:t>3)</w:t>
      </w:r>
      <w:r>
        <w:rPr>
          <w:rFonts w:cs="Verdana"/>
        </w:rPr>
        <w:t>);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8)</w:t>
      </w:r>
      <w:r>
        <w:rPr>
          <w:rFonts w:cs="Verdana"/>
        </w:rPr>
        <w:tab/>
        <w:t>podmiotach leczniczych - należy przez to rozumieć podmioty lecznicze, o których mowa w art. 4 ust. 1 ustawy z dnia 15 kwietnia 2011 r. o działalności leczniczej (Dz. U. Nr 112, poz. 654, Nr 149, poz. 887, Nr 174, poz. 1039 i Nr 185, poz. 1092).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4.</w:t>
      </w:r>
      <w:r>
        <w:rPr>
          <w:rFonts w:cs="Verdana"/>
        </w:rPr>
        <w:t> 1. Osoba uprawniona ma prawo do swobodnego korzystania z wybranej przez siebie formy komunikowania się.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Osoba uprawniona, która nie posiada pełnej zdolności do czynności prawnych, ma prawo współdecydowania wraz z rodzicami lub opiekunami prawnymi o wybranej formie komunikowania się.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5.</w:t>
      </w:r>
      <w:r>
        <w:rPr>
          <w:rFonts w:cs="Verdana"/>
        </w:rPr>
        <w:t> Osoby uprawnione mają prawo do: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usług, o których mowa w art. 9 ust. 1 i 2;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świadczeń, o których mowa w art. 11 ust. 1;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dofinansowania, o którym mowa w art. 18.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6.</w:t>
      </w:r>
      <w:r>
        <w:rPr>
          <w:rFonts w:cs="Verdana"/>
        </w:rPr>
        <w:t> Przepisy ustawy są realizowane przez: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organy administracji publicznej,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jednostki systemu,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podmioty lecznicze,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jednostki Policji, Państwowej Straży Pożarnej i straże gminne oraz jednostki ochotnicze działające w tych obszarach</w:t>
      </w:r>
    </w:p>
    <w:p w:rsidR="00517C41" w:rsidRDefault="00517C41">
      <w:pPr>
        <w:jc w:val="both"/>
        <w:rPr>
          <w:rFonts w:cs="Verdana"/>
        </w:rPr>
      </w:pPr>
      <w:r>
        <w:rPr>
          <w:rFonts w:cs="Verdana"/>
        </w:rPr>
        <w:t>- zwane dalej "podmiotami zobowiązanymi".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 xml:space="preserve">Rozdział 2 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Obsługa osób uprawnionych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7.</w:t>
      </w:r>
      <w:r>
        <w:rPr>
          <w:rFonts w:cs="Verdana"/>
        </w:rPr>
        <w:t> 1. Osoba uprawniona ma prawo do skorzystania z pomocy osoby przybranej w kontaktach z podmiotami zobowiązanymi.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Prawo, o którym mowa w ust. 1, może być ograniczone wyłącznie ze względu na zasady określone w przepisach ustawy z dnia 5 sierpnia 2010 r. o ochronie informacji niejawnych (Dz. U. Nr 182, poz. 1228).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3. W przypadku skorzystania przez osoby uprawnione z prawa, o którym mowa w ust. 1, podmioty zobowiązane nie mogą wymagać przedstawienia dokumentów potwierdzających znajomość PJM, SJM lub SKOGN przez osoby przybrane.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8.</w:t>
      </w:r>
      <w:r>
        <w:rPr>
          <w:rFonts w:cs="Verdana"/>
        </w:rPr>
        <w:t> Przetwarzanie informacji i danych w czasie korzystania przez osobę uprawnioną z pomocy osoby przybranej odbywa się w celu zapewnienia jej możliwości komunikowania się w kontaktach z podmiotami zobowiązanymi.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9.</w:t>
      </w:r>
      <w:r>
        <w:rPr>
          <w:rFonts w:cs="Verdana"/>
        </w:rPr>
        <w:t> 1. Organ administracji publicznej jest zobowiązany do udostępnienia usługi pozwalającej na komunikowanie się.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Za usługę, o której mowa w ust. 1, należy rozumieć w szczególności wykorzystanie środków wspierających komunikowanie się.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3. Organ administracji publicznej jest zobowiązany do upowszechnienia informacji o usłudze, o której mowa w ust. 2.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4. Obowiązek, o którym mowa w ust. 3, jest realizowany w sposób powszechnie przyjęty, w szczególności w Biuletynie Informacji Publicznej, na stronach internetowych organu administracji publicznej i w miejscach publicznie dostępnych w tym organie.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10.</w:t>
      </w:r>
      <w:r>
        <w:rPr>
          <w:rFonts w:cs="Verdana"/>
        </w:rPr>
        <w:t> 1. Podmiot zobowiązany zapewnia możliwość korzystania przez osoby uprawnione z pomocy wybranego tłumacza języka migowego lub tłumacza-przewodnika. Przepisy art. 7 i art. 8 stosuje się odpowiednio.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Przepis, o którym mowa w ust. 1, nie wyklucza możliwości korzystania z innych uprawnień.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11.</w:t>
      </w:r>
      <w:r>
        <w:rPr>
          <w:rFonts w:cs="Verdana"/>
        </w:rPr>
        <w:t> 1. Organ administracji publicznej zapewnia, na zasadach określonych w art. 12, dostęp do świadczenia usług tłumacza PJM, SJM i SKOGN, zwanych dalej "świadczeniem".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Świadczenie może być realizowane również przez pracownika organu administracji publicznej posługującego się PJM lub SJM lub z wykorzystaniem środków wspierających komunikowanie się.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3. Świadczenie jest bezpłatne dla osoby uprawnionej, będącej osobą niepełnosprawną w rozumieniu ustawy z dnia 27 sierpnia 1997 r. o rehabilitacji zawodowej i społecznej oraz zatrudnianiu osób niepełnosprawnych (Dz. U. z 2011 r. Nr 127, poz. 721 i Nr 171, poz. 1016).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4. Do świadczenia stosuje się odpowiednio art. 8.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12.</w:t>
      </w:r>
      <w:r>
        <w:rPr>
          <w:rFonts w:cs="Verdana"/>
        </w:rPr>
        <w:t> 1. Osoba uprawniona, o której mowa w art. 11 ust. 3, jest zobowiązana zgłosić chęć skorzystania ze świadczenia ze wskazaniem wybranej metody komunikowania się, do właściwego ze względu na właściwość sprawy organu administracji publicznej, co najmniej na 3 dni robocze przed tym zdarzeniem, z wyłączeniem sytuacji nagłych.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Zgłoszenie, o którym mowa w ust. 1, powinno być dokonane w formie określonej przez organ administracji publicznej, w sposób dostępny dla osób uprawnionych.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3. Po dokonaniu zgłoszenia, o którym mowa w ust. 1, organ administracji publicznej jest zobowiązany do zapewnienia obsługi osoby uprawnionej, w terminie przez nią wyznaczonym lub z nią uzgodnionym, na zasadach określonych w ustawie.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4. Organ administracji publicznej, w przypadku braku możliwości realizacji świadczenia zawiadamia wraz z uzasadnieniem osobę uprawnioną, wyznaczając możliwy termin realizacji świadczenia lub wskazując na inną formę realizacji uprawnień określonych w niniejszej ustawie.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13.</w:t>
      </w:r>
      <w:r>
        <w:rPr>
          <w:rFonts w:cs="Verdana"/>
        </w:rPr>
        <w:t> 1. Osoba realizująca świadczenie jest obowiązana zachować w tajemnicy informacje związane z osobą uprawnioną.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Przepisu ust. 1 nie stosuje się w przypadku gdy: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zachowanie tajemnicy może stanowić niebezpieczeństwo dla życia lub zdrowia osoby uprawnionej lub innych osób;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osoba uprawniona lub jej przedstawiciel ustawowy wyraża zgodę na ujawnienie tajemnicy.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14.</w:t>
      </w:r>
      <w:r>
        <w:rPr>
          <w:rFonts w:cs="Verdana"/>
        </w:rPr>
        <w:t> 1. Organ administracji publicznej udostępnia dokumenty niezbędne do załatwienia sprawy, w formie dostępnej dla osób uprawnionych, na ich wniosek.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Organ administracji publicznej zamieszcza wszystkie niezbędne informacje o organie i sposobach realizacji ustawy, w miejscach dostępnych dla osób uprawnionych.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 xml:space="preserve">Rozdział 3 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Rejestr tłumaczy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15.</w:t>
      </w:r>
      <w:r>
        <w:rPr>
          <w:rFonts w:cs="Verdana"/>
        </w:rPr>
        <w:t> 1. Tworzy się rejestr tłumaczy PJM, SJM i SKOGN, zwany dalej "rejestrem".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Rejestr prowadzi wojewoda.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3. Rejestr jest prowadzony wyłącznie w formie elektronicznej.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4. Wpis do rejestru i korzystanie z rejestru są bezpłatne.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16.</w:t>
      </w:r>
      <w:r>
        <w:rPr>
          <w:rFonts w:cs="Verdana"/>
        </w:rPr>
        <w:t> Minister właściwy do spraw zabezpieczenia społecznego określi, w drodze rozporządzenia, zakres oraz zasady funkcjonowania rejestru, o którym mowa w art. 15, a w szczególności: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wzór rejestru,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wzór wniosku o wpis do rejestru,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wzór wniosku o zmianę danych podlegających wpisowi do rejestru,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wzór zawiadomienia o wpisie do rejestru,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wzór zawiadomienia o wykreśleniu z rejestru,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wzór oświadczenia potwierdzającego znajomość PJM, SJM i SKOGN,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zasady wpisu do rejestru, zmiany danych i skreślenia na liście,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8)</w:t>
      </w:r>
      <w:r>
        <w:rPr>
          <w:rFonts w:cs="Verdana"/>
        </w:rPr>
        <w:tab/>
        <w:t>tryb udostępniania informacji, ich zakres, a także tryb udostępniania wniosków oraz ich składania,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9)</w:t>
      </w:r>
      <w:r>
        <w:rPr>
          <w:rFonts w:cs="Verdana"/>
        </w:rPr>
        <w:tab/>
        <w:t>zakres danych publikowanych w rejestrze</w:t>
      </w:r>
    </w:p>
    <w:p w:rsidR="00517C41" w:rsidRDefault="00517C41">
      <w:pPr>
        <w:jc w:val="both"/>
        <w:rPr>
          <w:rFonts w:cs="Verdana"/>
        </w:rPr>
      </w:pPr>
      <w:r>
        <w:rPr>
          <w:rFonts w:cs="Verdana"/>
        </w:rPr>
        <w:t>- mając na uwadze potrzebę zapewnienia sprawnego funkcjonowania rejestru.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17.</w:t>
      </w:r>
      <w:r>
        <w:rPr>
          <w:rFonts w:cs="Verdana"/>
        </w:rPr>
        <w:t> 1. Koszt wynagrodzenia tłumacza PJM, SJM i SKOGN wpisanego do rejestru, w ramach świadczenia, nie może być wyższy niż 2% przeciętnego wynagrodzenia w poprzednim kwartale, począwszy od pierwszego dnia następnego miesiąca po ogłoszeniu przez Prezesa Głównego Urzędu Statystycznego w Dzienniku Urzędowym Rzeczypospolitej Polskiej "Monitor Polski" na podstawie art. 20 pkt 2 ustawy z dnia 17 grudnia 1998 r. o emeryturach i rentach z Funduszu Ubezpieczeń Społecznych (Dz. U. z 2009 r. Nr 153, poz. 1227, z późn. zm.</w:t>
      </w:r>
      <w:r>
        <w:rPr>
          <w:rFonts w:cs="Verdana"/>
          <w:vertAlign w:val="superscript"/>
        </w:rPr>
        <w:t>4)</w:t>
      </w:r>
      <w:r>
        <w:rPr>
          <w:rFonts w:cs="Verdana"/>
        </w:rPr>
        <w:t>) za godzinę świadczenia.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Tłumaczowi przysługuje wynagrodzenie za świadczenie wyłącznie w przypadku wybrania go do świadczenia i jego realizowania.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3. Wynagrodzenie, o którym mowa w ust. 2, jest wypłacane przez organ administracji publicznej, na zasadach określonych w odrębnych przepisach.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 xml:space="preserve">Rozdział 4 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Dofinansowanie kosztów szkolenia PJM, SJM, SKOGN lub tłumacza-przewodnika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18.</w:t>
      </w:r>
      <w:r>
        <w:rPr>
          <w:rFonts w:cs="Verdana"/>
        </w:rPr>
        <w:t> 1. Osoby, o których mowa w art. 2 ust. 1, mogą korzystać z wybranej przez siebie formy szkolenia PJM, SJM, SKOGN lub tłumacza-przewodnika.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Koszt szkolenia, o którym mowa w ust. 1, może zostać dofinansowany ze środków Państwowego Funduszu Rehabilitacji Osób Niepełnosprawnych na wniosek osób, o których mowa w ust. 1.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3. Wysokość dofinansowania, o którym mowa w ust. 2, nie może być wyższa niż 20% przeciętnego wynagrodzenia, o którym mowa w art. 17 ust. 1.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4. Minister właściwy do spraw zabezpieczenia społecznego określi w drodze rozporządzenia: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tryb składania i rozpatrywania wniosków o dofinansowanie kosztów szkolenia, o którym mowa w ust. 1, wysokość oraz sposób przyznawania i przekazywania środków Państwowego Funduszu Rehabilitacji Osób Niepełnosprawnych na ten cel,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zakres oraz formę dodatkowych informacji i dokumentów składanych wraz z wnioskiem, o którym mowa w pkt 1,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wzory wniosków, o których mowa w pkt 1</w:t>
      </w:r>
    </w:p>
    <w:p w:rsidR="00517C41" w:rsidRDefault="00517C41">
      <w:pPr>
        <w:jc w:val="both"/>
        <w:rPr>
          <w:rFonts w:cs="Verdana"/>
        </w:rPr>
      </w:pPr>
      <w:r>
        <w:rPr>
          <w:rFonts w:cs="Verdana"/>
        </w:rPr>
        <w:t>- mając na uwadze prawidłowe funkcjonowanie mechanizmu dofinansowania kosztów szkolenia PJM, SJM, SKOGN i tłumacza-przewodnika oraz uwzględnienie potrzeb osób korzystających z tych szkoleń, a także uwzględniając różnice w grupach uprawnionych do dofinansowania.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 xml:space="preserve">Rozdział 5 </w:t>
      </w:r>
    </w:p>
    <w:p w:rsidR="00517C41" w:rsidRDefault="00517C41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Polska Rada Języka Migowego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19.</w:t>
      </w:r>
      <w:r>
        <w:rPr>
          <w:rFonts w:cs="Verdana"/>
        </w:rPr>
        <w:t> 1. Tworzy się Polską Radę Języka Migowego, zwaną dalej "Radą".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Rada jest organem doradczym ministra właściwego do spraw zabezpieczenia społecznego.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3. Do zakresu działania Rady należy: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ustalanie rekomendacji w celu prawidłowego stosowania komunikacji migowej;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upowszechnianie i promowanie wiedzy o języku migowym poprzez wspieranie inicjatyw promujących rozwiązania na rzecz osób uprawnionych i upowszechniających rozwiązania wspierające komunikowanie się;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sporządzanie opinii o funkcjonowaniu przepisów ustawy, opiniowanie projektów dokumentów rządowych w zakresie dotyczącym funkcjonowania osób uprawnionych;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wskazywanie propozycji rozwiązań wpływających na funkcjonowanie osób uprawnionych, w tym związanych ze stosowaniem PJM, SJM i SKOGN.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20.</w:t>
      </w:r>
      <w:r>
        <w:rPr>
          <w:rFonts w:cs="Verdana"/>
        </w:rPr>
        <w:t> 1. Rada składa się z 17 członków, w tym z Pełnomocnika Rządu do spraw Osób Niepełnosprawnych.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Członkiem Rady może zostać osoba znająca PJM, SJM lub SKOGN lub zajmująca się zawodowo tą problematyką.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3.  W skład Rady powołuje się: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po jednym przedstawicielu ministra właściwego do spraw: oświaty i wychowania, nauki i szkolnictwa wyższego, kultury i ochrony dziedzictwa narodowego, wewnętrznych oraz informatyzacji;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przedstawiciela:</w:t>
      </w:r>
    </w:p>
    <w:p w:rsidR="00517C41" w:rsidRDefault="00517C4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Ministra Sprawiedliwości,</w:t>
      </w:r>
    </w:p>
    <w:p w:rsidR="00517C41" w:rsidRDefault="00517C4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Krajowej Rady Radiofonii i Telewizji.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Przepisu ust. 2 nie stosuje się.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4. Członków Rady powołuje i odwołuje minister właściwy do spraw zabezpieczenia społecznego.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5. Kandydatów na członków Rady zgłaszają zainteresowane środowiska, organizacje, stowarzyszenia lub instytucje oraz organy, o których mowa w ust. 3.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21.</w:t>
      </w:r>
      <w:r>
        <w:rPr>
          <w:rFonts w:cs="Verdana"/>
        </w:rPr>
        <w:t> 1. Rada dokonuje wyboru przewodniczącego spośród członków.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Przewodniczącym Rady może być wyłącznie osoba uprawniona, posiadająca wykształcenie lub doświadczenie jednocześnie w zakresie PJM, SJM i SKOGN.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3. Wiceprzewodniczącym Rady jest Pełnomocnik Rządu do spraw Osób Niepełnosprawnych.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4. Wiceprzewodniczącemu Rady przysługują kompetencje Przewodniczącego w razie niedokonania wyboru Przewodniczącego, do czasu jego wyboru.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22.</w:t>
      </w:r>
      <w:r>
        <w:rPr>
          <w:rFonts w:cs="Verdana"/>
        </w:rPr>
        <w:t> 1. Posiedzenia Rady są zwoływane przez Przewodniczącego Rady lub przez Pełnomocnika Rządu do spraw Osób Niepełnosprawnych.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Posiedzenia Rady odbywają się co najmniej raz na pół roku.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23.</w:t>
      </w:r>
      <w:r>
        <w:rPr>
          <w:rFonts w:cs="Verdana"/>
        </w:rPr>
        <w:t> 1. Kadencja Rady trwa 4 lata.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Minister właściwy do spraw zabezpieczenia społecznego może odwołać członka Rady przed upływem jej kadencji: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 jego wniosek;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na wniosek reprezentowanego przez niego podmiotu, o którym mowa w art. 20 ust. 5;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na wniosek Pełnomocnika Rządu do spraw Osób Niepełnosprawnych, po zasięgnięciu opinii Rady oraz podmiotu, o którym mowa w art. 20 ust. 5, który członek Rady reprezentuje.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3. Wygaśnięcie kadencji członka Rady następuje z chwilą zakończenia kadencji Rady lub z chwilą jego śmierci.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24.</w:t>
      </w:r>
      <w:r>
        <w:rPr>
          <w:rFonts w:cs="Verdana"/>
        </w:rPr>
        <w:t> W przypadku odwołania członka Rady lub wygaśnięcia jego kadencji, minister właściwy do spraw zabezpieczenia społecznego, powołuje nowego członka Rady na zasadach określonych w art. 20.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25.</w:t>
      </w:r>
      <w:r>
        <w:rPr>
          <w:rFonts w:cs="Verdana"/>
        </w:rPr>
        <w:t> 1. Wydatki związane z obsługą Rady są finansowane ze środków urzędu obsługującego ministra właściwego do spraw zabezpieczenia społecznego.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Pracodawca jest obowiązany zwolnić pracownika od pracy, aby umożliwić mu wzięcie udziału w posiedzeniach Rady. Za czas zwolnienia pracownik zachowuje prawo do wynagrodzenia, ustalonego według zasad obowiązujących przy obliczaniu ekwiwalentu pieniężnego za urlop wypoczynkowy.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3. Członkom Rady oraz ich tłumaczom-przewodnikom przysługuje zwrot kosztów podróży w związku z realizacją zadań Rady, na zasadach określonych w przepisach dotyczących wysokości oraz warunków ustalenia należności przysługujących pracownikom zatrudnionym w państwowej lub samorządowej jednostce sfery budżetowej z tytułu podróży służbowej na obszarze kraju.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4. Zwrot kosztów podróży, o którym mowa w ust. 3, będzie przysługiwał tylko w przypadku obecności członka Rady na posiedzeniu.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5. Przepis ust. 4 stosuje się odpowiednio do tłumaczy-przewodników członków Rady, pod warunkiem świadczenia usługi na posiedzeniu Rady.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6. Minister właściwy do spraw zabezpieczenia społecznego określi, w drodze zarządzenia, sposób i tryb działania Rady, w tym jej organizację, mając na względzie zapewnienie sprawnego funkcjonowania Rady.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 xml:space="preserve">Rozdział 6 </w:t>
      </w:r>
    </w:p>
    <w:p w:rsidR="00517C41" w:rsidRDefault="00517C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Zmiany w przepisach obowiązujących, przepisy przejściowe i końcowe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26.</w:t>
      </w:r>
      <w:r>
        <w:rPr>
          <w:rFonts w:cs="Verdana"/>
        </w:rPr>
        <w:t> W ustawie z dnia 27 sierpnia 1997 r. o rehabilitacji zawodowej i społecznej oraz zatrudnianiu osób niepełnosprawnych (Dz. U. z 2011 r. Nr 127, poz. 721 i Nr 171, poz. 1016) wprowadza się następujące zmiany: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 art. 35a w ust. 1 w pkt 7 w lit. e średnik zastępuje się przecinkiem i dodaje się lit. f w brzmieniu:</w:t>
      </w:r>
    </w:p>
    <w:p w:rsidR="00517C41" w:rsidRDefault="00517C41">
      <w:pPr>
        <w:tabs>
          <w:tab w:val="left" w:pos="850"/>
        </w:tabs>
        <w:ind w:left="850" w:hanging="425"/>
        <w:jc w:val="both"/>
        <w:rPr>
          <w:rFonts w:cs="Verdana"/>
        </w:rPr>
      </w:pPr>
      <w:r>
        <w:rPr>
          <w:rFonts w:cs="Verdana"/>
        </w:rPr>
        <w:t>"f)</w:t>
      </w:r>
      <w:r>
        <w:rPr>
          <w:rFonts w:cs="Verdana"/>
        </w:rPr>
        <w:tab/>
        <w:t>usług tłumacza języka migowego lub tłumacza-przewodnika;";</w:t>
      </w:r>
    </w:p>
    <w:p w:rsidR="00517C41" w:rsidRDefault="00517C4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 art. 47 w ust. 1 w pkt 4 w lit. b kropkę zastępuje się przecinkiem i dodaje się lit. c w brzmieniu:</w:t>
      </w:r>
    </w:p>
    <w:p w:rsidR="00517C41" w:rsidRDefault="00517C41">
      <w:pPr>
        <w:tabs>
          <w:tab w:val="left" w:pos="850"/>
        </w:tabs>
        <w:ind w:left="850" w:hanging="425"/>
        <w:jc w:val="both"/>
        <w:rPr>
          <w:rFonts w:cs="Verdana"/>
        </w:rPr>
      </w:pPr>
      <w:r>
        <w:rPr>
          <w:rFonts w:cs="Verdana"/>
        </w:rPr>
        <w:t>"c)</w:t>
      </w:r>
      <w:r>
        <w:rPr>
          <w:rFonts w:cs="Verdana"/>
        </w:rPr>
        <w:tab/>
        <w:t>szkolenia, o których mowa w art. 18 ustawy z dnia 19 sierpnia 2011 r. o języku migowym i innych środkach komunikowania się (Dz. U. Nr 209, poz. 1243).".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27.</w:t>
      </w:r>
      <w:r>
        <w:rPr>
          <w:rFonts w:cs="Verdana"/>
        </w:rPr>
        <w:t> 1. Rada Ministrów przedstawia, w ramach informacji Rządu Rzeczypospolitej Polskiej o działaniach podejmowanych w danym roku na rzecz realizacji postanowień uchwały Sejmu Rzeczypospolitej Polskiej z dnia 1 sierpnia 1997 r. - Karta Praw Osób Niepełnosprawnych (M. P. Nr 50, poz. 475), informację o funkcjonowaniu ustawy w roku poprzednim.</w:t>
      </w:r>
    </w:p>
    <w:p w:rsidR="00517C41" w:rsidRDefault="00517C41">
      <w:pPr>
        <w:ind w:firstLine="431"/>
        <w:jc w:val="both"/>
        <w:rPr>
          <w:rFonts w:cs="Verdana"/>
        </w:rPr>
      </w:pPr>
      <w:r>
        <w:rPr>
          <w:rFonts w:cs="Verdana"/>
        </w:rPr>
        <w:t>2. Pierwsza informacja, o której mowa w ust. 1, zostanie przedstawiona za rok następujący po dniu wejścia w życie ustawy.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28.</w:t>
      </w:r>
      <w:r>
        <w:rPr>
          <w:rFonts w:cs="Verdana"/>
        </w:rPr>
        <w:t> W sprawach nieuregulowanych w ustawie stosuje się odpowiednio przepisy ustawy z dnia 14 czerwca 1960 r. - Kodeks postępowania administracyjnego.</w:t>
      </w:r>
    </w:p>
    <w:p w:rsidR="00517C41" w:rsidRDefault="00517C4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Art. 29.</w:t>
      </w:r>
      <w:r>
        <w:rPr>
          <w:rFonts w:cs="Verdana"/>
        </w:rPr>
        <w:t> Ustawa wchodzi w życie z dniem 1 kwietnia 2012 r., z wyjątkiem art. 7 i art. 8, które wchodzą w życie po upływie 14 dni od dnia ogłoszenia.</w:t>
      </w:r>
    </w:p>
    <w:p w:rsidR="00517C41" w:rsidRDefault="00517C41">
      <w:pPr>
        <w:spacing w:before="240"/>
        <w:jc w:val="both"/>
        <w:rPr>
          <w:rFonts w:cs="Verdana"/>
        </w:rPr>
      </w:pPr>
      <w:r>
        <w:rPr>
          <w:rFonts w:cs="Verdana"/>
        </w:rPr>
        <w:t>______</w:t>
      </w:r>
    </w:p>
    <w:p w:rsidR="00517C41" w:rsidRDefault="00517C4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Niniejszą ustawą zmienia się ustawę z dnia 27 sierpnia 1997 r. o rehabilitacji zawodowej i społecznej oraz zatrudnianiu osób niepełnosprawnych.</w:t>
      </w:r>
    </w:p>
    <w:p w:rsidR="00517C41" w:rsidRDefault="00517C4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Zmiany tekstu jednolitego wymienionej ustawy zostały ogłoszone w Dz. U. z 2001 r. Nr 49, poz. 509, z 2002 r. Nr 113, poz. 984, Nr 153, poz. 1271 i Nr 169, poz. 1387, z 2003 r. Nr 130, poz. 1188 i Nr 170, poz. 1660, z 2004 r. Nr 162, poz. 1692, z 2005 r. Nr 64, poz. 565, Nr 78, poz. 682 i Nr 181, poz. 1524, z 2008 r. Nr 229, poz. 1539, z 2009 r. Nr 195, poz. 1501 i Nr 216, poz. 1676, z 2010 r. Nr 40, poz. 230, Nr 167, poz. 1131, Nr 182, poz. 1228 i Nr 254, poz. 1700 oraz z 2011 r. Nr 6, poz. 18, Nr 34, poz. 173, Nr 106, poz. 622 i Nr 186, poz. 1100.</w:t>
      </w:r>
    </w:p>
    <w:p w:rsidR="00517C41" w:rsidRDefault="00517C4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3)</w:t>
      </w:r>
      <w:r>
        <w:rPr>
          <w:rFonts w:cs="Verdana"/>
        </w:rPr>
        <w:tab/>
        <w:t>Zmiany wymienionej ustawy zostały ogłoszone w Dz. U. z 2007 r. Nr 89, poz. 590 i Nr 166, poz. 1172, z 2008 r. Nr 17, poz. 101 i Nr 237, poz. 1653, z 2009 r. Nr 11, poz. 59 i Nr 122, poz. 1007, z 2010 r. Nr 107, poz. 679 i Nr 219, poz. 1443 oraz z 2011 r. Nr 30, poz. 151, Nr 112, poz. 654 i Nr 208, poz. 1240 i 1241.</w:t>
      </w:r>
    </w:p>
    <w:p w:rsidR="00517C41" w:rsidRDefault="00517C4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4)</w:t>
      </w:r>
      <w:r>
        <w:rPr>
          <w:rFonts w:cs="Verdana"/>
        </w:rPr>
        <w:tab/>
        <w:t>Zmiany tekstu jednolitego wymienionej ustawy zostały ogłoszone w Dz. U. z 2010 r. Nr 40, poz. 224, Nr 134, poz. 903, Nr 238, poz. 1578 i Nr 257, poz. 1726 oraz z 2011 r. Nr 75, poz. 398, Nr 149, poz. 887, Nr 168, poz. 1001, Nr 187, poz. 1112 i Nr 205, poz. 1203.</w:t>
      </w:r>
    </w:p>
    <w:p w:rsidR="00517C41" w:rsidRDefault="00517C41">
      <w:pPr>
        <w:rPr>
          <w:rFonts w:cs="Verdana"/>
        </w:rPr>
      </w:pPr>
    </w:p>
    <w:sectPr w:rsidR="00517C41" w:rsidSect="004E43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0F0"/>
    <w:rsid w:val="000910F0"/>
    <w:rsid w:val="004E4317"/>
    <w:rsid w:val="00517C41"/>
    <w:rsid w:val="00740C6E"/>
    <w:rsid w:val="00B11301"/>
    <w:rsid w:val="00DE57C7"/>
    <w:rsid w:val="00F2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01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next w:val="Normal"/>
    <w:uiPriority w:val="99"/>
    <w:rsid w:val="00B11301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2690</Words>
  <Characters>16145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/>
  <cp:keywords/>
  <dc:description/>
  <cp:lastModifiedBy>machowskak</cp:lastModifiedBy>
  <cp:revision>2</cp:revision>
  <dcterms:created xsi:type="dcterms:W3CDTF">2014-10-08T08:07:00Z</dcterms:created>
  <dcterms:modified xsi:type="dcterms:W3CDTF">2014-10-08T08:07:00Z</dcterms:modified>
</cp:coreProperties>
</file>